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61278" w14:textId="7DCF3883" w:rsidR="002A4BEE" w:rsidRPr="002A4BEE" w:rsidRDefault="002A4BEE" w:rsidP="00C82857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A4BEE">
        <w:rPr>
          <w:b/>
          <w:bCs/>
          <w:sz w:val="32"/>
          <w:szCs w:val="32"/>
        </w:rPr>
        <w:t>Summary Depositional History of the Mississippi</w:t>
      </w:r>
    </w:p>
    <w:p w14:paraId="5B76F55A" w14:textId="06D68178" w:rsidR="0053253F" w:rsidRDefault="003F244C" w:rsidP="0053253F">
      <w:pPr>
        <w:ind w:firstLine="360"/>
        <w:jc w:val="both"/>
      </w:pPr>
      <w:r>
        <w:t>The Mississippi f</w:t>
      </w:r>
      <w:r w:rsidR="000626C6">
        <w:t xml:space="preserve">an is the </w:t>
      </w:r>
      <w:proofErr w:type="spellStart"/>
      <w:r w:rsidR="000626C6">
        <w:t>deepwater</w:t>
      </w:r>
      <w:proofErr w:type="spellEnd"/>
      <w:r w:rsidR="000626C6">
        <w:t xml:space="preserve"> sink for the Mississippi River</w:t>
      </w:r>
      <w:r>
        <w:t xml:space="preserve">, preserving </w:t>
      </w:r>
      <w:r w:rsidRPr="00C667FA">
        <w:t>~</w:t>
      </w:r>
      <w:r>
        <w:t>8,000 ft (2,440 m) of Pleistocene sediment eroded from a glacially dynamic catchment</w:t>
      </w:r>
      <w:r w:rsidR="000626C6">
        <w:t xml:space="preserve">.  </w:t>
      </w:r>
      <w:r w:rsidR="00CE5932">
        <w:t>The fan was mapped over 29 3D seismic surveys during a project BOEM undertook investigating the distribution of shallow water flows on the Mississippi fan</w:t>
      </w:r>
      <w:r>
        <w:t xml:space="preserve">.  </w:t>
      </w:r>
      <w:r w:rsidR="00671E76" w:rsidRPr="00671E76">
        <w:t xml:space="preserve">The depositional history of the fan is traced through Pleistocene sequence boundaries </w:t>
      </w:r>
      <w:r w:rsidR="00C9036F">
        <w:t xml:space="preserve">(SB) </w:t>
      </w:r>
      <w:r w:rsidR="00671E76">
        <w:t xml:space="preserve">recognized in </w:t>
      </w:r>
      <w:r w:rsidR="00C9036F">
        <w:t>BOEM</w:t>
      </w:r>
      <w:r w:rsidR="00671E76">
        <w:t>’s</w:t>
      </w:r>
      <w:r w:rsidR="00BC18CF">
        <w:t xml:space="preserve"> </w:t>
      </w:r>
      <w:r>
        <w:t>revised chronost</w:t>
      </w:r>
      <w:r w:rsidR="00784832">
        <w:t>ratigraphic</w:t>
      </w:r>
      <w:r w:rsidR="00BC18CF">
        <w:t xml:space="preserve"> chart</w:t>
      </w:r>
      <w:r w:rsidR="00683A35">
        <w:t xml:space="preserve">.  </w:t>
      </w:r>
      <w:r w:rsidR="00671E76">
        <w:t>The revised chart orders 3</w:t>
      </w:r>
      <w:r w:rsidR="00671E76" w:rsidRPr="00671E76">
        <w:rPr>
          <w:vertAlign w:val="superscript"/>
        </w:rPr>
        <w:t>rd</w:t>
      </w:r>
      <w:r w:rsidR="00671E76">
        <w:t xml:space="preserve"> order sequence boundaries (PLL = Lower Pleistocene; PLM = Middle Pleistocene; and PLU = Upper Pleistocene).</w:t>
      </w:r>
      <w:r w:rsidR="00C9036F">
        <w:t xml:space="preserve">  </w:t>
      </w:r>
      <w:r w:rsidR="00671E76">
        <w:t xml:space="preserve">“Nth” order sequences are recognized within each.  </w:t>
      </w:r>
      <w:r w:rsidR="002A4BEE">
        <w:t>A 3</w:t>
      </w:r>
      <w:r w:rsidR="00C23291">
        <w:t>-</w:t>
      </w:r>
      <w:r w:rsidR="002A4BEE">
        <w:t xml:space="preserve">minute </w:t>
      </w:r>
      <w:r w:rsidR="00683A35">
        <w:t>video was prepared as an outfall</w:t>
      </w:r>
      <w:r w:rsidR="00BC18CF">
        <w:t xml:space="preserve"> of </w:t>
      </w:r>
      <w:r w:rsidR="002A4BEE">
        <w:t>this</w:t>
      </w:r>
      <w:r w:rsidR="00BC18CF">
        <w:t xml:space="preserve"> project </w:t>
      </w:r>
      <w:r w:rsidR="00BC18CF" w:rsidRPr="00BC18CF">
        <w:t>(</w:t>
      </w:r>
      <w:r w:rsidR="00BC18CF" w:rsidRPr="00BC18CF">
        <w:rPr>
          <w:color w:val="00B0F0"/>
        </w:rPr>
        <w:t xml:space="preserve">click </w:t>
      </w:r>
      <w:r w:rsidR="002A4BEE">
        <w:rPr>
          <w:color w:val="00B0F0"/>
        </w:rPr>
        <w:t>here</w:t>
      </w:r>
      <w:r w:rsidR="00BC18CF" w:rsidRPr="00BC18CF">
        <w:t>)</w:t>
      </w:r>
      <w:r w:rsidR="007F53B9">
        <w:t>.</w:t>
      </w:r>
    </w:p>
    <w:p w14:paraId="7DAF65EB" w14:textId="2CDD57DF" w:rsidR="007F53B9" w:rsidRPr="008E50D3" w:rsidRDefault="00671E76" w:rsidP="0053253F">
      <w:pPr>
        <w:ind w:firstLine="360"/>
        <w:jc w:val="both"/>
      </w:pPr>
      <w:r w:rsidRPr="008E50D3">
        <w:rPr>
          <w:rFonts w:eastAsiaTheme="minorEastAsia" w:hAnsi="Calibri"/>
          <w:color w:val="000000" w:themeColor="text1"/>
          <w:kern w:val="24"/>
        </w:rPr>
        <w:t xml:space="preserve">Depocenters of the fan migrated from southwest-to-northeast during the Early to Middle Pleistocene, and then partially retraced this route back southwest during the Late Pleistocene.  </w:t>
      </w:r>
      <w:r w:rsidR="007F53B9" w:rsidRPr="008E50D3">
        <w:rPr>
          <w:rFonts w:eastAsiaTheme="minorEastAsia" w:hAnsi="Calibri"/>
          <w:color w:val="000000" w:themeColor="text1"/>
          <w:kern w:val="24"/>
        </w:rPr>
        <w:t xml:space="preserve">Northwest-southeast transfer fault-bounded structural corridors identified by Stephens (2001; 2010) suggestively guide the spatial distribution of Pleistocene SWFs, while their temporal distribution </w:t>
      </w:r>
      <w:r w:rsidR="0053253F" w:rsidRPr="008E50D3">
        <w:t xml:space="preserve">on the Mississippi fan </w:t>
      </w:r>
      <w:r w:rsidR="0053253F" w:rsidRPr="008E50D3">
        <w:rPr>
          <w:rFonts w:eastAsiaTheme="minorEastAsia" w:hAnsi="Calibri"/>
          <w:color w:val="000000" w:themeColor="text1"/>
          <w:kern w:val="24"/>
        </w:rPr>
        <w:t>make them proxies for high sedimentation rates</w:t>
      </w:r>
      <w:r w:rsidR="00C9036F" w:rsidRPr="008E50D3">
        <w:rPr>
          <w:rFonts w:eastAsiaTheme="minorEastAsia" w:hAnsi="Calibri"/>
          <w:color w:val="000000" w:themeColor="text1"/>
          <w:kern w:val="24"/>
        </w:rPr>
        <w:t xml:space="preserve"> related to the drainage of glacial lakes</w:t>
      </w:r>
      <w:r w:rsidR="007F53B9" w:rsidRPr="008E50D3">
        <w:rPr>
          <w:rFonts w:eastAsiaTheme="minorEastAsia" w:hAnsi="Calibri"/>
          <w:color w:val="000000" w:themeColor="text1"/>
          <w:kern w:val="24"/>
        </w:rPr>
        <w:t>.</w:t>
      </w:r>
    </w:p>
    <w:p w14:paraId="4CE5DB9C" w14:textId="219EE925" w:rsidR="00117BBB" w:rsidRDefault="00CB6A59" w:rsidP="00C667FA">
      <w:pPr>
        <w:ind w:firstLine="360"/>
        <w:jc w:val="both"/>
      </w:pPr>
      <w:r>
        <w:t xml:space="preserve">Sedimentation rates </w:t>
      </w:r>
      <w:r w:rsidR="00230898">
        <w:t xml:space="preserve">in </w:t>
      </w:r>
      <w:r w:rsidR="00117BBB">
        <w:t>the Gulf of Mexico increased greatly following the</w:t>
      </w:r>
      <w:r>
        <w:t xml:space="preserve"> </w:t>
      </w:r>
      <w:r w:rsidRPr="00CB6A59">
        <w:t xml:space="preserve">700 </w:t>
      </w:r>
      <w:r w:rsidR="00117BBB">
        <w:t>Ka s</w:t>
      </w:r>
      <w:r w:rsidR="00230898">
        <w:t>equence boundary</w:t>
      </w:r>
      <w:r w:rsidR="00117BBB">
        <w:t xml:space="preserve"> (SB) and a </w:t>
      </w:r>
      <w:r w:rsidR="003F244C" w:rsidRPr="00C667FA">
        <w:t>~</w:t>
      </w:r>
      <w:r w:rsidR="00117BBB">
        <w:t xml:space="preserve">400 ft (125 m) drop in sea level.  </w:t>
      </w:r>
      <w:r w:rsidR="000B13F9">
        <w:t>Lake Tight, a</w:t>
      </w:r>
      <w:r w:rsidR="009807E2">
        <w:t xml:space="preserve">n ice-dammed </w:t>
      </w:r>
      <w:r w:rsidR="00C667FA" w:rsidRPr="00C667FA">
        <w:t xml:space="preserve">Middle Pleistocene </w:t>
      </w:r>
      <w:r w:rsidR="00117BBB">
        <w:t xml:space="preserve">proglacial </w:t>
      </w:r>
      <w:r w:rsidR="000B13F9">
        <w:t xml:space="preserve">lake </w:t>
      </w:r>
      <w:r w:rsidR="00117BBB">
        <w:t xml:space="preserve">drained </w:t>
      </w:r>
      <w:r w:rsidR="00784832">
        <w:t>a</w:t>
      </w:r>
      <w:r w:rsidR="00C9036F">
        <w:t>t some point close to the 700 Ka SB</w:t>
      </w:r>
      <w:r w:rsidR="009807E2">
        <w:t>,</w:t>
      </w:r>
      <w:r w:rsidR="00784832">
        <w:t xml:space="preserve"> dumping 2.5x the volume of Lake Erie into the upper Mississippi valley </w:t>
      </w:r>
      <w:r w:rsidR="00C94BBE">
        <w:t xml:space="preserve">and </w:t>
      </w:r>
      <w:r w:rsidR="00784832">
        <w:t>inundating the GOM with outwash</w:t>
      </w:r>
      <w:r w:rsidR="00117BBB">
        <w:t xml:space="preserve">.  </w:t>
      </w:r>
      <w:r w:rsidR="008C2DC3">
        <w:t>Duration for the d</w:t>
      </w:r>
      <w:r w:rsidR="00C94BBE">
        <w:t xml:space="preserve">raining of Lake Tight </w:t>
      </w:r>
      <w:r w:rsidR="00814C3B">
        <w:t xml:space="preserve">is a key unknown.  It </w:t>
      </w:r>
      <w:r w:rsidR="008C2DC3">
        <w:t>could have drained suddenly;</w:t>
      </w:r>
      <w:r w:rsidR="00814C3B">
        <w:t xml:space="preserve"> evidence for which has not been preserved or recognized.  It could have drained</w:t>
      </w:r>
      <w:r w:rsidR="00C94BBE">
        <w:t xml:space="preserve"> over ~10</w:t>
      </w:r>
      <w:r w:rsidR="00C94BBE" w:rsidRPr="00C94BBE">
        <w:rPr>
          <w:vertAlign w:val="superscript"/>
        </w:rPr>
        <w:t>4</w:t>
      </w:r>
      <w:r w:rsidR="00C94BBE">
        <w:t xml:space="preserve"> yea</w:t>
      </w:r>
      <w:r w:rsidR="00814C3B">
        <w:t>rs, or it could have drained</w:t>
      </w:r>
      <w:r w:rsidR="00C94BBE">
        <w:t xml:space="preserve"> over a more extended period of </w:t>
      </w:r>
      <w:r w:rsidR="00C94BBE" w:rsidRPr="00C667FA">
        <w:t>~</w:t>
      </w:r>
      <w:r w:rsidR="00C94BBE">
        <w:t>10</w:t>
      </w:r>
      <w:r w:rsidR="00C94BBE" w:rsidRPr="00C94BBE">
        <w:rPr>
          <w:vertAlign w:val="superscript"/>
        </w:rPr>
        <w:t>5</w:t>
      </w:r>
      <w:r w:rsidR="00C94BBE">
        <w:t xml:space="preserve"> years; both durations are permissible given the available age control.  </w:t>
      </w:r>
      <w:r w:rsidR="00117BBB">
        <w:t xml:space="preserve">Sediment loading of the shelf margin contributed to, or caused, its collapse and </w:t>
      </w:r>
      <w:r w:rsidR="00117BBB" w:rsidRPr="00C667FA">
        <w:t xml:space="preserve">very thick mass transport deposits </w:t>
      </w:r>
      <w:r w:rsidR="00117BBB">
        <w:t xml:space="preserve">were deposited </w:t>
      </w:r>
      <w:r w:rsidR="00117BBB" w:rsidRPr="00C667FA">
        <w:t>in ultra-</w:t>
      </w:r>
      <w:proofErr w:type="spellStart"/>
      <w:r w:rsidR="00117BBB" w:rsidRPr="00C667FA">
        <w:t>deepwater</w:t>
      </w:r>
      <w:proofErr w:type="spellEnd"/>
      <w:r w:rsidR="00117BBB" w:rsidRPr="00C667FA">
        <w:t xml:space="preserve"> </w:t>
      </w:r>
      <w:r w:rsidR="00117BBB">
        <w:t>between ~700 to 460 Ka SB.</w:t>
      </w:r>
    </w:p>
    <w:p w14:paraId="2926D799" w14:textId="3D5D39BB" w:rsidR="001C6495" w:rsidRDefault="00C667FA" w:rsidP="009807E2">
      <w:pPr>
        <w:ind w:firstLine="360"/>
        <w:jc w:val="both"/>
      </w:pPr>
      <w:r w:rsidRPr="00C667FA">
        <w:t>High rates of sediment influx during the Late Pleisto</w:t>
      </w:r>
      <w:r w:rsidR="00BC18CF">
        <w:t xml:space="preserve">cene (130 Ka to Holocene) were influenced by </w:t>
      </w:r>
      <w:r w:rsidRPr="00C667FA">
        <w:t>unification of the Missouri and Mississippi River catchments</w:t>
      </w:r>
      <w:r w:rsidR="00D67E9E">
        <w:t xml:space="preserve"> ~</w:t>
      </w:r>
      <w:r w:rsidR="009807E2">
        <w:t>77 Ka</w:t>
      </w:r>
      <w:r w:rsidR="008E50D3">
        <w:t xml:space="preserve"> that </w:t>
      </w:r>
      <w:r w:rsidR="00C94BBE">
        <w:t>greatly increased</w:t>
      </w:r>
      <w:r w:rsidR="00BC18CF">
        <w:t xml:space="preserve"> the size of the watershed</w:t>
      </w:r>
      <w:r w:rsidR="009807E2">
        <w:t>.  L</w:t>
      </w:r>
      <w:r w:rsidR="00D67E9E">
        <w:t>ate in the Pleistocene o</w:t>
      </w:r>
      <w:r w:rsidRPr="00C667FA">
        <w:t xml:space="preserve">utwash </w:t>
      </w:r>
      <w:r w:rsidR="00D67E9E">
        <w:t>reached</w:t>
      </w:r>
      <w:r w:rsidR="00117BBB">
        <w:t xml:space="preserve"> the GOM </w:t>
      </w:r>
      <w:r w:rsidRPr="00C667FA">
        <w:t xml:space="preserve">from the </w:t>
      </w:r>
      <w:r w:rsidR="00784832">
        <w:t xml:space="preserve">failure of the ground moraines impounding </w:t>
      </w:r>
      <w:r w:rsidRPr="00C667FA">
        <w:t xml:space="preserve">proglacial Lake Kankakee </w:t>
      </w:r>
      <w:r w:rsidR="003F244C">
        <w:t>(</w:t>
      </w:r>
      <w:r w:rsidR="003F244C" w:rsidRPr="00C667FA">
        <w:t>~</w:t>
      </w:r>
      <w:r w:rsidR="003F244C">
        <w:t xml:space="preserve">19 Ka) </w:t>
      </w:r>
      <w:r w:rsidR="00D67E9E">
        <w:t>dumping</w:t>
      </w:r>
      <w:r w:rsidR="00784832">
        <w:t xml:space="preserve"> 0.23x the volume of Lake Erie into </w:t>
      </w:r>
      <w:r w:rsidR="003F244C" w:rsidRPr="00C667FA">
        <w:t>the</w:t>
      </w:r>
      <w:r w:rsidR="00D8333D">
        <w:t xml:space="preserve"> Illinois River.  The upper Mississippi River valley </w:t>
      </w:r>
      <w:r w:rsidR="008E50D3">
        <w:t xml:space="preserve">received a </w:t>
      </w:r>
      <w:r w:rsidR="008E50D3" w:rsidRPr="008E50D3">
        <w:t xml:space="preserve">large amount of outwash between 13.5 and 9 Ka </w:t>
      </w:r>
      <w:r w:rsidR="008E50D3">
        <w:t>while</w:t>
      </w:r>
      <w:r w:rsidR="00D8333D">
        <w:t xml:space="preserve"> episodically connected to</w:t>
      </w:r>
      <w:r w:rsidR="00D67E9E">
        <w:t xml:space="preserve"> </w:t>
      </w:r>
      <w:r w:rsidR="00D8333D">
        <w:t xml:space="preserve">enormous proglacial </w:t>
      </w:r>
      <w:r w:rsidR="008E50D3">
        <w:t xml:space="preserve">Lake Agassiz </w:t>
      </w:r>
      <w:r w:rsidR="00D67E9E">
        <w:t>in Canada</w:t>
      </w:r>
      <w:r w:rsidR="00814C3B">
        <w:t>.  After th</w:t>
      </w:r>
      <w:r w:rsidR="008E50D3">
        <w:t>e</w:t>
      </w:r>
      <w:r w:rsidR="000B13F9">
        <w:t xml:space="preserve"> connection to Lake Agassiz was shut down &lt;10 Ka the lobes of the modern delta were deposited as sea level rose and the </w:t>
      </w:r>
      <w:proofErr w:type="spellStart"/>
      <w:r w:rsidR="000B13F9">
        <w:t>Wisconsinian</w:t>
      </w:r>
      <w:proofErr w:type="spellEnd"/>
      <w:r w:rsidR="000B13F9">
        <w:t xml:space="preserve"> ice sheet disintegrated.</w:t>
      </w:r>
    </w:p>
    <w:p w14:paraId="5229DFF3" w14:textId="77777777" w:rsidR="0053253F" w:rsidRPr="0053253F" w:rsidRDefault="0053253F" w:rsidP="002A4B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3253F">
        <w:rPr>
          <w:rFonts w:ascii="Calibri" w:eastAsiaTheme="minorEastAsia" w:hAnsi="Calibri"/>
          <w:color w:val="000000"/>
          <w:kern w:val="24"/>
          <w:sz w:val="16"/>
          <w:szCs w:val="16"/>
        </w:rPr>
        <w:t>Stephens, B.P.  2010.  Basement controls on subsurface geologic patterns and near-surface geology across the northern Gulf of Mexico: a deeper perspective on coastal Louisiana. American Association of Petroleum Geologists, Annual Conference and Exhibition, New Orleans, LA. Search and Discovery Article. No. 25129.</w:t>
      </w:r>
      <w:r w:rsidR="00DD2B5C">
        <w:rPr>
          <w:rFonts w:ascii="Calibri" w:eastAsiaTheme="minorEastAsia" w:hAnsi="Calibri"/>
          <w:color w:val="000000"/>
          <w:kern w:val="24"/>
          <w:sz w:val="16"/>
          <w:szCs w:val="16"/>
        </w:rPr>
        <w:t xml:space="preserve"> </w:t>
      </w:r>
      <w:hyperlink r:id="rId6" w:history="1">
        <w:r w:rsidR="00DD2B5C" w:rsidRPr="00DD2B5C">
          <w:rPr>
            <w:rStyle w:val="Hyperlink"/>
            <w:rFonts w:ascii="Calibri" w:eastAsiaTheme="minorEastAsia" w:hAnsi="Calibri"/>
            <w:kern w:val="24"/>
            <w:sz w:val="16"/>
            <w:szCs w:val="16"/>
          </w:rPr>
          <w:t>http://</w:t>
        </w:r>
      </w:hyperlink>
      <w:hyperlink r:id="rId7" w:history="1">
        <w:r w:rsidR="00DD2B5C" w:rsidRPr="00DD2B5C">
          <w:rPr>
            <w:rStyle w:val="Hyperlink"/>
            <w:rFonts w:ascii="Calibri" w:eastAsiaTheme="minorEastAsia" w:hAnsi="Calibri"/>
            <w:kern w:val="24"/>
            <w:sz w:val="16"/>
            <w:szCs w:val="16"/>
          </w:rPr>
          <w:t>www.searchanddiscovery.com/pdfz/documents/2010/25129stephens/ndx_stephens.pdf.html</w:t>
        </w:r>
      </w:hyperlink>
    </w:p>
    <w:p w14:paraId="2B813F2D" w14:textId="77777777" w:rsidR="0053253F" w:rsidRDefault="0053253F" w:rsidP="002A4BEE">
      <w:pPr>
        <w:spacing w:after="0" w:line="240" w:lineRule="auto"/>
        <w:jc w:val="both"/>
        <w:rPr>
          <w:rFonts w:ascii="Calibri" w:eastAsiaTheme="minorEastAsia" w:hAnsi="Calibri"/>
          <w:color w:val="000000"/>
          <w:kern w:val="24"/>
          <w:sz w:val="16"/>
          <w:szCs w:val="16"/>
        </w:rPr>
      </w:pPr>
    </w:p>
    <w:p w14:paraId="5763D9B1" w14:textId="77777777" w:rsidR="0053253F" w:rsidRPr="00DD2B5C" w:rsidRDefault="0053253F" w:rsidP="002A4BEE">
      <w:pPr>
        <w:spacing w:line="240" w:lineRule="auto"/>
        <w:jc w:val="both"/>
        <w:rPr>
          <w:rFonts w:ascii="Calibri" w:eastAsiaTheme="minorEastAsia" w:hAnsi="Calibri"/>
          <w:color w:val="000000"/>
          <w:kern w:val="24"/>
          <w:sz w:val="16"/>
          <w:szCs w:val="16"/>
        </w:rPr>
      </w:pPr>
      <w:r w:rsidRPr="0053253F">
        <w:rPr>
          <w:rFonts w:ascii="Calibri" w:eastAsiaTheme="minorEastAsia" w:hAnsi="Calibri"/>
          <w:color w:val="000000"/>
          <w:kern w:val="24"/>
          <w:sz w:val="16"/>
          <w:szCs w:val="16"/>
        </w:rPr>
        <w:t>Stephens, B.P.  2001.  Basement controls on hydrocarbon systems, depositional pathways, and exploration plays beyond the Sigsbee Escarpment in the central Gulf of Mexico: Proceedings of the 21st Annual Gulf Coast Section of the Society of Economic Paleontologists and Mineralogists Foundation, Bob F. Perkins Research Conference, Houston, Texas, p. 129–158.</w:t>
      </w:r>
      <w:r w:rsidR="00DD2B5C">
        <w:rPr>
          <w:rFonts w:ascii="Calibri" w:eastAsiaTheme="minorEastAsia" w:hAnsi="Calibri"/>
          <w:color w:val="000000"/>
          <w:kern w:val="24"/>
          <w:sz w:val="16"/>
          <w:szCs w:val="16"/>
        </w:rPr>
        <w:t xml:space="preserve"> </w:t>
      </w:r>
      <w:hyperlink r:id="rId8" w:history="1">
        <w:r w:rsidR="00DD2B5C" w:rsidRPr="00DD2B5C">
          <w:rPr>
            <w:rStyle w:val="Hyperlink"/>
            <w:rFonts w:ascii="Calibri" w:eastAsiaTheme="minorEastAsia" w:hAnsi="Calibri"/>
            <w:kern w:val="24"/>
            <w:sz w:val="16"/>
            <w:szCs w:val="16"/>
          </w:rPr>
          <w:t>https://doi.org/10.5724/gcs.</w:t>
        </w:r>
      </w:hyperlink>
      <w:hyperlink r:id="rId9" w:history="1">
        <w:r w:rsidR="00DD2B5C" w:rsidRPr="00DD2B5C">
          <w:rPr>
            <w:rStyle w:val="Hyperlink"/>
            <w:rFonts w:ascii="Calibri" w:eastAsiaTheme="minorEastAsia" w:hAnsi="Calibri"/>
            <w:kern w:val="24"/>
            <w:sz w:val="16"/>
            <w:szCs w:val="16"/>
          </w:rPr>
          <w:t>01.21.0129</w:t>
        </w:r>
      </w:hyperlink>
      <w:r w:rsidR="00DD2B5C" w:rsidRPr="00DD2B5C">
        <w:rPr>
          <w:rFonts w:ascii="Calibri" w:eastAsiaTheme="minorEastAsia" w:hAnsi="Calibri"/>
          <w:color w:val="000000"/>
          <w:kern w:val="24"/>
          <w:sz w:val="16"/>
          <w:szCs w:val="16"/>
        </w:rPr>
        <w:t xml:space="preserve"> </w:t>
      </w:r>
    </w:p>
    <w:sectPr w:rsidR="0053253F" w:rsidRPr="00DD2B5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25676" w14:textId="77777777" w:rsidR="00BC389A" w:rsidRDefault="00BC389A" w:rsidP="00BC389A">
      <w:pPr>
        <w:spacing w:after="0" w:line="240" w:lineRule="auto"/>
      </w:pPr>
      <w:r>
        <w:separator/>
      </w:r>
    </w:p>
  </w:endnote>
  <w:endnote w:type="continuationSeparator" w:id="0">
    <w:p w14:paraId="51E195CC" w14:textId="77777777" w:rsidR="00BC389A" w:rsidRDefault="00BC389A" w:rsidP="00B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531ED" w14:textId="77777777" w:rsidR="00BC389A" w:rsidRDefault="00BC389A">
    <w:pPr>
      <w:pStyle w:val="Footer"/>
    </w:pPr>
    <w:r>
      <w:t>BOEM 2019-04</w:t>
    </w:r>
    <w:r w:rsidR="00DD2B5C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3433A" w14:textId="77777777" w:rsidR="00BC389A" w:rsidRDefault="00BC389A" w:rsidP="00BC389A">
      <w:pPr>
        <w:spacing w:after="0" w:line="240" w:lineRule="auto"/>
      </w:pPr>
      <w:r>
        <w:separator/>
      </w:r>
    </w:p>
  </w:footnote>
  <w:footnote w:type="continuationSeparator" w:id="0">
    <w:p w14:paraId="35C69D96" w14:textId="77777777" w:rsidR="00BC389A" w:rsidRDefault="00BC389A" w:rsidP="00BC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D8A80" w14:textId="6B657D40" w:rsidR="002A4BEE" w:rsidRDefault="002A4BEE">
    <w:pPr>
      <w:pStyle w:val="Header"/>
    </w:pPr>
    <w:r>
      <w:t>BOEM 2019-048</w:t>
    </w:r>
  </w:p>
  <w:p w14:paraId="12E4A837" w14:textId="77777777" w:rsidR="002A4BEE" w:rsidRDefault="002A4B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857"/>
    <w:rsid w:val="000626C6"/>
    <w:rsid w:val="000B13F9"/>
    <w:rsid w:val="00117BBB"/>
    <w:rsid w:val="001C6495"/>
    <w:rsid w:val="001E40F7"/>
    <w:rsid w:val="00230898"/>
    <w:rsid w:val="002A4BEE"/>
    <w:rsid w:val="00315BB0"/>
    <w:rsid w:val="0034510B"/>
    <w:rsid w:val="003F244C"/>
    <w:rsid w:val="00432C90"/>
    <w:rsid w:val="0053253F"/>
    <w:rsid w:val="00570952"/>
    <w:rsid w:val="00671E76"/>
    <w:rsid w:val="00683A35"/>
    <w:rsid w:val="00760E52"/>
    <w:rsid w:val="00784832"/>
    <w:rsid w:val="007F53B9"/>
    <w:rsid w:val="00814C3B"/>
    <w:rsid w:val="008C2DC3"/>
    <w:rsid w:val="008E50D3"/>
    <w:rsid w:val="009807E2"/>
    <w:rsid w:val="00A40429"/>
    <w:rsid w:val="00BC18CF"/>
    <w:rsid w:val="00BC389A"/>
    <w:rsid w:val="00C205F3"/>
    <w:rsid w:val="00C23291"/>
    <w:rsid w:val="00C667FA"/>
    <w:rsid w:val="00C82857"/>
    <w:rsid w:val="00C9036F"/>
    <w:rsid w:val="00C94BBE"/>
    <w:rsid w:val="00CB6A59"/>
    <w:rsid w:val="00CE5932"/>
    <w:rsid w:val="00D67E9E"/>
    <w:rsid w:val="00D8333D"/>
    <w:rsid w:val="00DD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E265B"/>
  <w15:chartTrackingRefBased/>
  <w15:docId w15:val="{3A3BA22F-7D6B-4641-9DD5-851B1709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A59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4BB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9A"/>
  </w:style>
  <w:style w:type="paragraph" w:styleId="Footer">
    <w:name w:val="footer"/>
    <w:basedOn w:val="Normal"/>
    <w:link w:val="FooterChar"/>
    <w:uiPriority w:val="99"/>
    <w:unhideWhenUsed/>
    <w:rsid w:val="00BC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9A"/>
  </w:style>
  <w:style w:type="character" w:styleId="Hyperlink">
    <w:name w:val="Hyperlink"/>
    <w:basedOn w:val="DefaultParagraphFont"/>
    <w:uiPriority w:val="99"/>
    <w:unhideWhenUsed/>
    <w:rsid w:val="005325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724/gcs.01.21.012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earchanddiscovery.com/pdfz/documents/2010/25129stephens/ndx_stephens.pdf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archanddiscovery.com/pdfz/documents/2010/25129stephens/ndx_stephens.pdf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i.org/10.5724/gcs.01.21.0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BSEE?BOEM?ONRR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Bjerstedt, Thomas</dc:creator>
  <cp:keywords/>
  <dc:description/>
  <cp:lastModifiedBy>Liu, Jules W</cp:lastModifiedBy>
  <cp:revision>2</cp:revision>
  <dcterms:created xsi:type="dcterms:W3CDTF">2019-12-23T16:19:00Z</dcterms:created>
  <dcterms:modified xsi:type="dcterms:W3CDTF">2019-12-23T16:19:00Z</dcterms:modified>
</cp:coreProperties>
</file>