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D598" w14:textId="681C9D9B" w:rsidR="00D34F96" w:rsidRPr="00AC25D5" w:rsidRDefault="00824171" w:rsidP="005E2DF3">
      <w:pPr>
        <w:rPr>
          <w:rFonts w:ascii="Calibri" w:hAnsi="Calibri" w:cs="Calibri"/>
          <w:sz w:val="22"/>
          <w:szCs w:val="22"/>
        </w:rPr>
        <w:sectPr w:rsidR="00D34F96" w:rsidRPr="00AC25D5" w:rsidSect="00CA5280">
          <w:type w:val="continuous"/>
          <w:pgSz w:w="12240" w:h="15840"/>
          <w:pgMar w:top="1440" w:right="1080" w:bottom="720" w:left="1080" w:header="720" w:footer="720" w:gutter="0"/>
          <w:cols w:space="720"/>
          <w:docGrid w:linePitch="360"/>
        </w:sectPr>
      </w:pPr>
      <w:r w:rsidRPr="00AC25D5">
        <w:rPr>
          <w:rFonts w:ascii="Calibri" w:hAnsi="Calibri" w:cs="Calibri"/>
          <w:b/>
          <w:bCs/>
          <w:noProof/>
          <w:sz w:val="22"/>
          <w:szCs w:val="22"/>
        </w:rPr>
        <w:drawing>
          <wp:anchor distT="0" distB="0" distL="114300" distR="114300" simplePos="0" relativeHeight="251659264" behindDoc="0" locked="0" layoutInCell="1" allowOverlap="1" wp14:anchorId="5639D9CB" wp14:editId="7BD109E1">
            <wp:simplePos x="0" y="0"/>
            <wp:positionH relativeFrom="column">
              <wp:posOffset>-121920</wp:posOffset>
            </wp:positionH>
            <wp:positionV relativeFrom="margin">
              <wp:posOffset>105097</wp:posOffset>
            </wp:positionV>
            <wp:extent cx="2949575" cy="1022985"/>
            <wp:effectExtent l="0" t="0" r="0" b="0"/>
            <wp:wrapSquare wrapText="bothSides"/>
            <wp:docPr id="2100929884" name="Picture 2" descr="A logo with a wav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29884" name="Picture 2" descr="A logo with a wave and sun&#10;&#10;Description automatically generated"/>
                    <pic:cNvPicPr/>
                  </pic:nvPicPr>
                  <pic:blipFill rotWithShape="1">
                    <a:blip r:embed="rId4" cstate="print">
                      <a:extLst>
                        <a:ext uri="{28A0092B-C50C-407E-A947-70E740481C1C}">
                          <a14:useLocalDpi xmlns:a14="http://schemas.microsoft.com/office/drawing/2010/main" val="0"/>
                        </a:ext>
                      </a:extLst>
                    </a:blip>
                    <a:srcRect t="16171" b="14291"/>
                    <a:stretch/>
                  </pic:blipFill>
                  <pic:spPr bwMode="auto">
                    <a:xfrm>
                      <a:off x="0" y="0"/>
                      <a:ext cx="2949575" cy="1022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2F57">
        <w:rPr>
          <w:rFonts w:ascii="Calibri" w:hAnsi="Calibri" w:cs="Calibri"/>
          <w:b/>
          <w:bCs/>
          <w:noProof/>
          <w:sz w:val="22"/>
          <w:szCs w:val="22"/>
        </w:rPr>
        <mc:AlternateContent>
          <mc:Choice Requires="wps">
            <w:drawing>
              <wp:anchor distT="0" distB="0" distL="114300" distR="114300" simplePos="0" relativeHeight="251657215" behindDoc="1" locked="0" layoutInCell="1" allowOverlap="1" wp14:anchorId="0AA7A0CA" wp14:editId="2CD73068">
                <wp:simplePos x="0" y="0"/>
                <wp:positionH relativeFrom="column">
                  <wp:posOffset>3374648</wp:posOffset>
                </wp:positionH>
                <wp:positionV relativeFrom="paragraph">
                  <wp:posOffset>132684</wp:posOffset>
                </wp:positionV>
                <wp:extent cx="3094355" cy="2794355"/>
                <wp:effectExtent l="0" t="0" r="17145" b="12700"/>
                <wp:wrapNone/>
                <wp:docPr id="225593285" name="Rounded Rectangle 4"/>
                <wp:cNvGraphicFramePr/>
                <a:graphic xmlns:a="http://schemas.openxmlformats.org/drawingml/2006/main">
                  <a:graphicData uri="http://schemas.microsoft.com/office/word/2010/wordprocessingShape">
                    <wps:wsp>
                      <wps:cNvSpPr/>
                      <wps:spPr>
                        <a:xfrm>
                          <a:off x="0" y="0"/>
                          <a:ext cx="3094355" cy="2794355"/>
                        </a:xfrm>
                        <a:prstGeom prst="roundRect">
                          <a:avLst>
                            <a:gd name="adj" fmla="val 3188"/>
                          </a:avLst>
                        </a:prstGeom>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49A41" id="Rounded Rectangle 4" o:spid="_x0000_s1026" style="position:absolute;margin-left:265.7pt;margin-top:10.45pt;width:243.65pt;height:220.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" fillcolor="#156082 [3204]" strokecolor="black [3213]" strokeweight=".25pt">
                <v:stroke joinstyle="miter"/>
              </v:roundrect>
            </w:pict>
          </mc:Fallback>
        </mc:AlternateContent>
      </w:r>
    </w:p>
    <w:p w14:paraId="2C6B1073" w14:textId="77777777" w:rsidR="0069556B" w:rsidRDefault="0069556B" w:rsidP="005E2DF3">
      <w:pPr>
        <w:rPr>
          <w:rFonts w:ascii="Calibri" w:hAnsi="Calibri" w:cs="Calibri"/>
          <w:sz w:val="22"/>
          <w:szCs w:val="22"/>
        </w:rPr>
      </w:pPr>
    </w:p>
    <w:p w14:paraId="63B4AD55" w14:textId="77777777" w:rsidR="002F056B" w:rsidRDefault="002F056B" w:rsidP="005E2DF3">
      <w:pPr>
        <w:rPr>
          <w:rFonts w:ascii="Calibri" w:hAnsi="Calibri" w:cs="Calibri"/>
          <w:sz w:val="22"/>
          <w:szCs w:val="22"/>
        </w:rPr>
      </w:pPr>
    </w:p>
    <w:p w14:paraId="7415C670" w14:textId="71944590" w:rsidR="0038160F" w:rsidRPr="00AC25D5" w:rsidRDefault="00824171" w:rsidP="005E2DF3">
      <w:pPr>
        <w:rPr>
          <w:rFonts w:ascii="Calibri" w:hAnsi="Calibri" w:cs="Calibri"/>
          <w:sz w:val="22"/>
          <w:szCs w:val="22"/>
        </w:rPr>
      </w:pPr>
      <w:r w:rsidRPr="00AC25D5">
        <w:rPr>
          <w:rFonts w:ascii="Calibri" w:hAnsi="Calibri" w:cs="Calibri"/>
          <w:b/>
          <w:bCs/>
          <w:noProof/>
          <w:sz w:val="22"/>
          <w:szCs w:val="22"/>
        </w:rPr>
        <w:drawing>
          <wp:anchor distT="0" distB="0" distL="114300" distR="114300" simplePos="0" relativeHeight="251661312" behindDoc="1" locked="0" layoutInCell="1" allowOverlap="1" wp14:anchorId="634F4E8C" wp14:editId="1596FC9F">
            <wp:simplePos x="0" y="0"/>
            <wp:positionH relativeFrom="column">
              <wp:posOffset>294640</wp:posOffset>
            </wp:positionH>
            <wp:positionV relativeFrom="page">
              <wp:posOffset>3205158</wp:posOffset>
            </wp:positionV>
            <wp:extent cx="3949700" cy="2560320"/>
            <wp:effectExtent l="0" t="0" r="0" b="0"/>
            <wp:wrapTight wrapText="bothSides">
              <wp:wrapPolygon edited="1">
                <wp:start x="11321" y="0"/>
                <wp:lineTo x="11043" y="1714"/>
                <wp:lineTo x="10835" y="3429"/>
                <wp:lineTo x="10279" y="6857"/>
                <wp:lineTo x="9862" y="10286"/>
                <wp:lineTo x="5695" y="13821"/>
                <wp:lineTo x="3125" y="15429"/>
                <wp:lineTo x="2639" y="15750"/>
                <wp:lineTo x="2500" y="16071"/>
                <wp:lineTo x="2639" y="17357"/>
                <wp:lineTo x="3542" y="18857"/>
                <wp:lineTo x="5070" y="20786"/>
                <wp:lineTo x="7015" y="20674"/>
                <wp:lineTo x="8821" y="20674"/>
                <wp:lineTo x="8923" y="20675"/>
                <wp:lineTo x="10765" y="20679"/>
                <wp:lineTo x="11321" y="20571"/>
                <wp:lineTo x="13613" y="19179"/>
                <wp:lineTo x="15488" y="18857"/>
                <wp:lineTo x="17988" y="17893"/>
                <wp:lineTo x="17919" y="17143"/>
                <wp:lineTo x="18544" y="17036"/>
                <wp:lineTo x="18475" y="16607"/>
                <wp:lineTo x="17572" y="15429"/>
                <wp:lineTo x="17641" y="14786"/>
                <wp:lineTo x="15002" y="14143"/>
                <wp:lineTo x="10487" y="13714"/>
                <wp:lineTo x="11460" y="12000"/>
                <wp:lineTo x="11390" y="10286"/>
                <wp:lineTo x="11113" y="9321"/>
                <wp:lineTo x="10765" y="8571"/>
                <wp:lineTo x="12988" y="8571"/>
                <wp:lineTo x="14863" y="7821"/>
                <wp:lineTo x="15071" y="4393"/>
                <wp:lineTo x="14655" y="3750"/>
                <wp:lineTo x="13752" y="3429"/>
                <wp:lineTo x="13613" y="1607"/>
                <wp:lineTo x="13057" y="1071"/>
                <wp:lineTo x="11599" y="0"/>
                <wp:lineTo x="11321" y="0"/>
              </wp:wrapPolygon>
            </wp:wrapTight>
            <wp:docPr id="2031759186" name="Picture 1" descr="A blue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59186" name="Picture 1" descr="A blue map of the united stat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9700" cy="2560320"/>
                    </a:xfrm>
                    <a:prstGeom prst="rect">
                      <a:avLst/>
                    </a:prstGeom>
                  </pic:spPr>
                </pic:pic>
              </a:graphicData>
            </a:graphic>
            <wp14:sizeRelH relativeFrom="margin">
              <wp14:pctWidth>0</wp14:pctWidth>
            </wp14:sizeRelH>
            <wp14:sizeRelV relativeFrom="margin">
              <wp14:pctHeight>0</wp14:pctHeight>
            </wp14:sizeRelV>
          </wp:anchor>
        </w:drawing>
      </w:r>
      <w:r w:rsidR="005E2DF3" w:rsidRPr="00AC25D5">
        <w:rPr>
          <w:rFonts w:ascii="Calibri" w:hAnsi="Calibri" w:cs="Calibri"/>
          <w:sz w:val="22"/>
          <w:szCs w:val="22"/>
        </w:rPr>
        <w:t>The Bureau of Ocean Energy Management is a federal agency within the U.S. Department</w:t>
      </w:r>
      <w:r w:rsidR="007D6335" w:rsidRPr="00AC25D5">
        <w:rPr>
          <w:rFonts w:ascii="Calibri" w:hAnsi="Calibri" w:cs="Calibri"/>
          <w:sz w:val="22"/>
          <w:szCs w:val="22"/>
        </w:rPr>
        <w:t xml:space="preserve"> </w:t>
      </w:r>
      <w:r w:rsidR="005E2DF3" w:rsidRPr="00AC25D5">
        <w:rPr>
          <w:rFonts w:ascii="Calibri" w:hAnsi="Calibri" w:cs="Calibri"/>
          <w:sz w:val="22"/>
          <w:szCs w:val="22"/>
        </w:rPr>
        <w:t>of the Interior. Our mission is to manage</w:t>
      </w:r>
      <w:r w:rsidR="007D6335" w:rsidRPr="00AC25D5">
        <w:rPr>
          <w:rFonts w:ascii="Calibri" w:hAnsi="Calibri" w:cs="Calibri"/>
          <w:sz w:val="22"/>
          <w:szCs w:val="22"/>
        </w:rPr>
        <w:t xml:space="preserve"> </w:t>
      </w:r>
      <w:r w:rsidR="005E2DF3" w:rsidRPr="00AC25D5">
        <w:rPr>
          <w:rFonts w:ascii="Calibri" w:hAnsi="Calibri" w:cs="Calibri"/>
          <w:sz w:val="22"/>
          <w:szCs w:val="22"/>
        </w:rPr>
        <w:t>the development of U.S. Outer Continental Shelf (OCS) energy, mineral, and geological resources in an environmentally and economically responsible way.</w:t>
      </w:r>
    </w:p>
    <w:p w14:paraId="4F95E194" w14:textId="76F94CD3" w:rsidR="0038160F" w:rsidRPr="00AC25D5" w:rsidRDefault="0038160F" w:rsidP="005E2DF3">
      <w:pPr>
        <w:rPr>
          <w:rFonts w:ascii="Calibri" w:hAnsi="Calibri" w:cs="Calibri"/>
          <w:sz w:val="22"/>
          <w:szCs w:val="22"/>
        </w:rPr>
      </w:pPr>
    </w:p>
    <w:p w14:paraId="286D0DEA" w14:textId="55053229" w:rsidR="005E2DF3" w:rsidRPr="00AC25D5" w:rsidRDefault="00DF62D9" w:rsidP="005E2DF3">
      <w:pPr>
        <w:rPr>
          <w:rFonts w:ascii="Calibri" w:hAnsi="Calibri" w:cs="Calibri"/>
          <w:sz w:val="22"/>
          <w:szCs w:val="22"/>
        </w:rPr>
      </w:pPr>
      <w:r w:rsidRPr="00AC25D5">
        <w:rPr>
          <w:rFonts w:ascii="Calibri" w:hAnsi="Calibri" w:cs="Calibri"/>
          <w:b/>
          <w:bCs/>
          <w:noProof/>
          <w:sz w:val="22"/>
          <w:szCs w:val="22"/>
        </w:rPr>
        <mc:AlternateContent>
          <mc:Choice Requires="wps">
            <w:drawing>
              <wp:anchor distT="0" distB="0" distL="114300" distR="114300" simplePos="0" relativeHeight="251662336" behindDoc="0" locked="0" layoutInCell="1" allowOverlap="1" wp14:anchorId="7465E505" wp14:editId="3C85D1FB">
                <wp:simplePos x="0" y="0"/>
                <wp:positionH relativeFrom="column">
                  <wp:posOffset>2341245</wp:posOffset>
                </wp:positionH>
                <wp:positionV relativeFrom="page">
                  <wp:posOffset>4091618</wp:posOffset>
                </wp:positionV>
                <wp:extent cx="1649730" cy="837565"/>
                <wp:effectExtent l="0" t="0" r="0" b="0"/>
                <wp:wrapSquare wrapText="bothSides"/>
                <wp:docPr id="180778026" name="Text Box 2"/>
                <wp:cNvGraphicFramePr/>
                <a:graphic xmlns:a="http://schemas.openxmlformats.org/drawingml/2006/main">
                  <a:graphicData uri="http://schemas.microsoft.com/office/word/2010/wordprocessingShape">
                    <wps:wsp>
                      <wps:cNvSpPr txBox="1"/>
                      <wps:spPr>
                        <a:xfrm>
                          <a:off x="0" y="0"/>
                          <a:ext cx="1649730" cy="837565"/>
                        </a:xfrm>
                        <a:prstGeom prst="rect">
                          <a:avLst/>
                        </a:prstGeom>
                        <a:solidFill>
                          <a:srgbClr val="FFFFFF">
                            <a:alpha val="0"/>
                          </a:srgbClr>
                        </a:solidFill>
                        <a:ln w="6350">
                          <a:noFill/>
                        </a:ln>
                      </wps:spPr>
                      <wps:txbx>
                        <w:txbxContent>
                          <w:p w14:paraId="6CCC5634" w14:textId="098C2945" w:rsidR="001D4AB2" w:rsidRPr="005D6EFE" w:rsidRDefault="001D4AB2">
                            <w:pPr>
                              <w:rPr>
                                <w:rFonts w:ascii="Calibri" w:hAnsi="Calibri" w:cs="Calibri"/>
                                <w:b/>
                                <w:bCs/>
                                <w:smallCaps/>
                                <w:sz w:val="49"/>
                                <w:szCs w:val="49"/>
                              </w:rPr>
                            </w:pPr>
                            <w:r w:rsidRPr="005D6EFE">
                              <w:rPr>
                                <w:rFonts w:ascii="Calibri" w:hAnsi="Calibri" w:cs="Calibri"/>
                                <w:b/>
                                <w:bCs/>
                                <w:smallCaps/>
                                <w:sz w:val="49"/>
                                <w:szCs w:val="49"/>
                              </w:rPr>
                              <w:t>Alaska</w:t>
                            </w:r>
                            <w:r w:rsidR="002B2E52" w:rsidRPr="005D6EFE">
                              <w:rPr>
                                <w:rFonts w:ascii="Calibri" w:hAnsi="Calibri" w:cs="Calibri"/>
                                <w:b/>
                                <w:bCs/>
                                <w:smallCaps/>
                                <w:sz w:val="49"/>
                                <w:szCs w:val="49"/>
                              </w:rPr>
                              <w:br/>
                            </w:r>
                            <w:r w:rsidRPr="005D6EFE">
                              <w:rPr>
                                <w:rFonts w:ascii="Calibri" w:hAnsi="Calibri" w:cs="Calibri"/>
                                <w:b/>
                                <w:bCs/>
                                <w:smallCaps/>
                                <w:sz w:val="49"/>
                                <w:szCs w:val="49"/>
                              </w:rPr>
                              <w:t>OCS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E505" id="_x0000_t202" coordsize="21600,21600" o:spt="202" path="m,l,21600r21600,l21600,xe">
                <v:stroke joinstyle="miter"/>
                <v:path gradientshapeok="t" o:connecttype="rect"/>
              </v:shapetype>
              <v:shape id="Text Box 2" o:spid="_x0000_s1026" type="#_x0000_t202" style="position:absolute;margin-left:184.35pt;margin-top:322.15pt;width:129.9pt;height:6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" stroked="f" strokeweight=".5pt">
                <v:fill opacity="0"/>
                <v:textbox>
                  <w:txbxContent>
                    <w:p w14:paraId="6CCC5634" w14:textId="098C2945" w:rsidR="001D4AB2" w:rsidRPr="005D6EFE" w:rsidRDefault="001D4AB2">
                      <w:pPr>
                        <w:rPr>
                          <w:rFonts w:ascii="Calibri" w:hAnsi="Calibri" w:cs="Calibri"/>
                          <w:b/>
                          <w:bCs/>
                          <w:smallCaps/>
                          <w:sz w:val="49"/>
                          <w:szCs w:val="49"/>
                        </w:rPr>
                      </w:pPr>
                      <w:r w:rsidRPr="005D6EFE">
                        <w:rPr>
                          <w:rFonts w:ascii="Calibri" w:hAnsi="Calibri" w:cs="Calibri"/>
                          <w:b/>
                          <w:bCs/>
                          <w:smallCaps/>
                          <w:sz w:val="49"/>
                          <w:szCs w:val="49"/>
                        </w:rPr>
                        <w:t>Alaska</w:t>
                      </w:r>
                      <w:r w:rsidR="002B2E52" w:rsidRPr="005D6EFE">
                        <w:rPr>
                          <w:rFonts w:ascii="Calibri" w:hAnsi="Calibri" w:cs="Calibri"/>
                          <w:b/>
                          <w:bCs/>
                          <w:smallCaps/>
                          <w:sz w:val="49"/>
                          <w:szCs w:val="49"/>
                        </w:rPr>
                        <w:br/>
                      </w:r>
                      <w:r w:rsidRPr="005D6EFE">
                        <w:rPr>
                          <w:rFonts w:ascii="Calibri" w:hAnsi="Calibri" w:cs="Calibri"/>
                          <w:b/>
                          <w:bCs/>
                          <w:smallCaps/>
                          <w:sz w:val="49"/>
                          <w:szCs w:val="49"/>
                        </w:rPr>
                        <w:t>OCS Region</w:t>
                      </w:r>
                    </w:p>
                  </w:txbxContent>
                </v:textbox>
                <w10:wrap type="square" anchory="page"/>
              </v:shape>
            </w:pict>
          </mc:Fallback>
        </mc:AlternateContent>
      </w:r>
      <w:r w:rsidR="005E2DF3" w:rsidRPr="00AC25D5">
        <w:rPr>
          <w:rFonts w:ascii="Calibri" w:hAnsi="Calibri" w:cs="Calibri"/>
          <w:sz w:val="22"/>
          <w:szCs w:val="22"/>
        </w:rPr>
        <w:t>In Alaska, BOEM is responsible for overseeing the sustainable use of vast offshore resources beyond the State's three-mile coastal boundary, encompassing approximately 1.05 billion acres of federal waters.</w:t>
      </w:r>
    </w:p>
    <w:p w14:paraId="7ABB8187" w14:textId="26F71D92" w:rsidR="005E2DF3" w:rsidRPr="00AC25D5" w:rsidRDefault="005E2DF3" w:rsidP="005E2DF3">
      <w:pPr>
        <w:rPr>
          <w:rFonts w:ascii="Calibri" w:hAnsi="Calibri" w:cs="Calibri"/>
          <w:sz w:val="22"/>
          <w:szCs w:val="22"/>
        </w:rPr>
      </w:pPr>
    </w:p>
    <w:p w14:paraId="6D0CF554" w14:textId="5BE89FF5" w:rsidR="005E2DF3" w:rsidRPr="00AC25D5" w:rsidRDefault="005E2DF3" w:rsidP="005E2DF3">
      <w:pPr>
        <w:rPr>
          <w:rFonts w:ascii="Calibri" w:hAnsi="Calibri" w:cs="Calibri"/>
          <w:sz w:val="22"/>
          <w:szCs w:val="22"/>
        </w:rPr>
      </w:pPr>
      <w:r w:rsidRPr="00AC25D5">
        <w:rPr>
          <w:rFonts w:ascii="Calibri" w:hAnsi="Calibri" w:cs="Calibri"/>
          <w:sz w:val="22"/>
          <w:szCs w:val="22"/>
        </w:rPr>
        <w:t>BOEM</w:t>
      </w:r>
      <w:r w:rsidR="00D34F96" w:rsidRPr="00AC25D5">
        <w:rPr>
          <w:rFonts w:ascii="Calibri" w:hAnsi="Calibri" w:cs="Calibri"/>
          <w:sz w:val="22"/>
          <w:szCs w:val="22"/>
        </w:rPr>
        <w:t>’s</w:t>
      </w:r>
      <w:r w:rsidRPr="00AC25D5">
        <w:rPr>
          <w:rFonts w:ascii="Calibri" w:hAnsi="Calibri" w:cs="Calibri"/>
          <w:sz w:val="22"/>
          <w:szCs w:val="22"/>
        </w:rPr>
        <w:t xml:space="preserve"> Alaska</w:t>
      </w:r>
      <w:r w:rsidR="00D34F96" w:rsidRPr="00AC25D5">
        <w:rPr>
          <w:rFonts w:ascii="Calibri" w:hAnsi="Calibri" w:cs="Calibri"/>
          <w:sz w:val="22"/>
          <w:szCs w:val="22"/>
        </w:rPr>
        <w:t xml:space="preserve"> OCS Region</w:t>
      </w:r>
      <w:r w:rsidRPr="00AC25D5">
        <w:rPr>
          <w:rFonts w:ascii="Calibri" w:hAnsi="Calibri" w:cs="Calibri"/>
          <w:sz w:val="22"/>
          <w:szCs w:val="22"/>
        </w:rPr>
        <w:t xml:space="preserve"> is organized into three key program offices:</w:t>
      </w:r>
    </w:p>
    <w:p w14:paraId="2FFA67C0" w14:textId="77777777" w:rsidR="005E2DF3" w:rsidRPr="00AC25D5" w:rsidRDefault="005E2DF3" w:rsidP="005E2DF3">
      <w:pPr>
        <w:rPr>
          <w:rFonts w:ascii="Calibri" w:hAnsi="Calibri" w:cs="Calibri"/>
          <w:b/>
          <w:bCs/>
          <w:sz w:val="22"/>
          <w:szCs w:val="22"/>
        </w:rPr>
      </w:pPr>
    </w:p>
    <w:p w14:paraId="252C79F9" w14:textId="76CEFCC8" w:rsidR="005E2DF3" w:rsidRDefault="005E2DF3" w:rsidP="00EC27D2">
      <w:pPr>
        <w:ind w:left="180"/>
        <w:rPr>
          <w:rFonts w:ascii="Calibri" w:hAnsi="Calibri" w:cs="Calibri"/>
          <w:sz w:val="22"/>
          <w:szCs w:val="22"/>
        </w:rPr>
      </w:pPr>
      <w:r w:rsidRPr="00AC25D5">
        <w:rPr>
          <w:rFonts w:ascii="Calibri" w:hAnsi="Calibri" w:cs="Calibri"/>
          <w:b/>
          <w:bCs/>
          <w:sz w:val="22"/>
          <w:szCs w:val="22"/>
        </w:rPr>
        <w:t>Office of Resource Evaluation</w:t>
      </w:r>
      <w:r w:rsidRPr="00AC25D5">
        <w:rPr>
          <w:rFonts w:ascii="Calibri" w:hAnsi="Calibri" w:cs="Calibri"/>
          <w:sz w:val="22"/>
          <w:szCs w:val="22"/>
        </w:rPr>
        <w:t>: Uses geologic and geophysical data to assess the quantity and economic value of offshore oil, gas, and marine minerals.</w:t>
      </w:r>
    </w:p>
    <w:p w14:paraId="32A24E68" w14:textId="77777777" w:rsidR="00EC27D2" w:rsidRPr="00AC25D5" w:rsidRDefault="00EC27D2" w:rsidP="00EC27D2">
      <w:pPr>
        <w:ind w:left="180"/>
        <w:rPr>
          <w:rFonts w:ascii="Calibri" w:hAnsi="Calibri" w:cs="Calibri"/>
          <w:sz w:val="22"/>
          <w:szCs w:val="22"/>
        </w:rPr>
      </w:pPr>
    </w:p>
    <w:p w14:paraId="36501302" w14:textId="1D63E470" w:rsidR="005E2DF3" w:rsidRDefault="005E2DF3" w:rsidP="00EC27D2">
      <w:pPr>
        <w:ind w:left="180"/>
        <w:rPr>
          <w:rFonts w:ascii="Calibri" w:hAnsi="Calibri" w:cs="Calibri"/>
          <w:sz w:val="22"/>
          <w:szCs w:val="22"/>
        </w:rPr>
      </w:pPr>
      <w:r w:rsidRPr="00AC25D5">
        <w:rPr>
          <w:rFonts w:ascii="Calibri" w:hAnsi="Calibri" w:cs="Calibri"/>
          <w:b/>
          <w:bCs/>
          <w:sz w:val="22"/>
          <w:szCs w:val="22"/>
        </w:rPr>
        <w:t>Office of Leasing and Plans</w:t>
      </w:r>
      <w:r w:rsidRPr="00AC25D5">
        <w:rPr>
          <w:rFonts w:ascii="Calibri" w:hAnsi="Calibri" w:cs="Calibri"/>
          <w:sz w:val="22"/>
          <w:szCs w:val="22"/>
        </w:rPr>
        <w:t>: Manages the leasing process for energy and mineral exploration and development, ensuring that plans comply with safety and environmental regulations.</w:t>
      </w:r>
    </w:p>
    <w:p w14:paraId="73B33989" w14:textId="77777777" w:rsidR="00EC27D2" w:rsidRPr="00AC25D5" w:rsidRDefault="00EC27D2" w:rsidP="00EC27D2">
      <w:pPr>
        <w:ind w:left="180"/>
        <w:rPr>
          <w:rFonts w:ascii="Calibri" w:hAnsi="Calibri" w:cs="Calibri"/>
          <w:sz w:val="22"/>
          <w:szCs w:val="22"/>
        </w:rPr>
      </w:pPr>
    </w:p>
    <w:p w14:paraId="38F60D7E" w14:textId="1CCD666B" w:rsidR="000A5C6F" w:rsidRDefault="005E2DF3" w:rsidP="00EC27D2">
      <w:pPr>
        <w:ind w:left="180"/>
        <w:rPr>
          <w:rFonts w:ascii="Calibri" w:hAnsi="Calibri" w:cs="Calibri"/>
          <w:sz w:val="22"/>
          <w:szCs w:val="22"/>
        </w:rPr>
      </w:pPr>
      <w:r w:rsidRPr="00AC25D5">
        <w:rPr>
          <w:rFonts w:ascii="Calibri" w:hAnsi="Calibri" w:cs="Calibri"/>
          <w:b/>
          <w:bCs/>
          <w:sz w:val="22"/>
          <w:szCs w:val="22"/>
        </w:rPr>
        <w:t>Office of Environment</w:t>
      </w:r>
      <w:r w:rsidRPr="00AC25D5">
        <w:rPr>
          <w:rFonts w:ascii="Calibri" w:hAnsi="Calibri" w:cs="Calibri"/>
          <w:sz w:val="22"/>
          <w:szCs w:val="22"/>
        </w:rPr>
        <w:t>: Provides critical scientific analysis and research to ensure that all offshore activities are conducted with minimal environmental impact. This office integrates Indigenous Knowledge and partners with local communities to safeguard cultural and ecological resources.</w:t>
      </w:r>
    </w:p>
    <w:p w14:paraId="3CF1D6D5" w14:textId="4782246B" w:rsidR="005E2DF3" w:rsidRPr="00382D6D" w:rsidRDefault="000A5C6F" w:rsidP="00512F57">
      <w:pPr>
        <w:spacing w:before="120"/>
        <w:ind w:left="86"/>
        <w:rPr>
          <w:rFonts w:ascii="Aptos" w:hAnsi="Aptos" w:cs="Calibri"/>
          <w:b/>
          <w:bCs/>
          <w:color w:val="FFFFFF" w:themeColor="background1"/>
          <w:sz w:val="20"/>
          <w:szCs w:val="20"/>
        </w:rPr>
      </w:pPr>
      <w:r w:rsidRPr="0046050E">
        <w:rPr>
          <w:rFonts w:ascii="Calibri" w:hAnsi="Calibri" w:cs="Calibri"/>
          <w:b/>
          <w:bCs/>
          <w:sz w:val="22"/>
          <w:szCs w:val="22"/>
        </w:rPr>
        <w:br w:type="column"/>
      </w:r>
      <w:r w:rsidR="0029652E" w:rsidRPr="00382D6D">
        <w:rPr>
          <w:rFonts w:ascii="Aptos" w:hAnsi="Aptos" w:cs="Calibri"/>
          <w:b/>
          <w:bCs/>
          <w:color w:val="FFFFFF" w:themeColor="background1"/>
          <w:sz w:val="20"/>
          <w:szCs w:val="20"/>
        </w:rPr>
        <w:t>KEY</w:t>
      </w:r>
      <w:r w:rsidR="005E2DF3" w:rsidRPr="00382D6D">
        <w:rPr>
          <w:rFonts w:ascii="Aptos" w:hAnsi="Aptos" w:cs="Calibri"/>
          <w:b/>
          <w:bCs/>
          <w:color w:val="FFFFFF" w:themeColor="background1"/>
          <w:sz w:val="20"/>
          <w:szCs w:val="20"/>
        </w:rPr>
        <w:t xml:space="preserve"> </w:t>
      </w:r>
      <w:r w:rsidR="0029652E" w:rsidRPr="00382D6D">
        <w:rPr>
          <w:rFonts w:ascii="Aptos" w:hAnsi="Aptos" w:cs="Calibri"/>
          <w:b/>
          <w:bCs/>
          <w:color w:val="FFFFFF" w:themeColor="background1"/>
          <w:sz w:val="20"/>
          <w:szCs w:val="20"/>
        </w:rPr>
        <w:t>AREAS OF FOCUS</w:t>
      </w:r>
    </w:p>
    <w:p w14:paraId="670B0E2E" w14:textId="77777777" w:rsidR="005E2DF3" w:rsidRPr="00382D6D" w:rsidRDefault="005E2DF3" w:rsidP="006B0F7A">
      <w:pPr>
        <w:ind w:left="90"/>
        <w:rPr>
          <w:rFonts w:ascii="Aptos" w:hAnsi="Aptos" w:cs="Calibri"/>
          <w:color w:val="FFFFFF" w:themeColor="background1"/>
          <w:sz w:val="20"/>
          <w:szCs w:val="20"/>
        </w:rPr>
      </w:pPr>
    </w:p>
    <w:p w14:paraId="2B8BF14E" w14:textId="3DDD1712" w:rsidR="005E2DF3" w:rsidRPr="00382D6D" w:rsidRDefault="005E2DF3" w:rsidP="00512F57">
      <w:pPr>
        <w:spacing w:after="120"/>
        <w:ind w:left="90" w:right="90"/>
        <w:rPr>
          <w:rFonts w:ascii="Aptos" w:hAnsi="Aptos" w:cs="Calibri"/>
          <w:color w:val="FFFFFF" w:themeColor="background1"/>
          <w:sz w:val="20"/>
          <w:szCs w:val="20"/>
        </w:rPr>
      </w:pPr>
      <w:r w:rsidRPr="00382D6D">
        <w:rPr>
          <w:rFonts w:ascii="Aptos" w:hAnsi="Aptos" w:cs="Calibri"/>
          <w:b/>
          <w:bCs/>
          <w:color w:val="FFFFFF" w:themeColor="background1"/>
          <w:sz w:val="20"/>
          <w:szCs w:val="20"/>
        </w:rPr>
        <w:t>Conventional Energy</w:t>
      </w:r>
      <w:r w:rsidRPr="00382D6D">
        <w:rPr>
          <w:rFonts w:ascii="Aptos" w:hAnsi="Aptos" w:cs="Calibri"/>
          <w:color w:val="FFFFFF" w:themeColor="background1"/>
          <w:sz w:val="20"/>
          <w:szCs w:val="20"/>
        </w:rPr>
        <w:t>. Overseeing offshore oil and gas operations, currently managing 21 leases in Alaska’s federal waters.</w:t>
      </w:r>
    </w:p>
    <w:p w14:paraId="6008BD51" w14:textId="7ACF797C" w:rsidR="005E2DF3" w:rsidRPr="00382D6D" w:rsidRDefault="005E2DF3" w:rsidP="00512F57">
      <w:pPr>
        <w:spacing w:after="120"/>
        <w:ind w:left="90" w:right="90"/>
        <w:rPr>
          <w:rFonts w:ascii="Aptos" w:hAnsi="Aptos" w:cs="Calibri"/>
          <w:color w:val="FFFFFF" w:themeColor="background1"/>
          <w:sz w:val="20"/>
          <w:szCs w:val="20"/>
        </w:rPr>
      </w:pPr>
      <w:r w:rsidRPr="00382D6D">
        <w:rPr>
          <w:rFonts w:ascii="Aptos" w:hAnsi="Aptos" w:cs="Calibri"/>
          <w:b/>
          <w:bCs/>
          <w:color w:val="FFFFFF" w:themeColor="background1"/>
          <w:sz w:val="20"/>
          <w:szCs w:val="20"/>
        </w:rPr>
        <w:t>Renewable Energy</w:t>
      </w:r>
      <w:r w:rsidRPr="00382D6D">
        <w:rPr>
          <w:rFonts w:ascii="Aptos" w:hAnsi="Aptos" w:cs="Calibri"/>
          <w:color w:val="FFFFFF" w:themeColor="background1"/>
          <w:sz w:val="20"/>
          <w:szCs w:val="20"/>
        </w:rPr>
        <w:t>. Exploring the potential of offshore wind, tidal, and wave energy, with a focus</w:t>
      </w:r>
      <w:r w:rsidR="00991C10" w:rsidRPr="00382D6D">
        <w:rPr>
          <w:rFonts w:ascii="Aptos" w:hAnsi="Aptos" w:cs="Calibri"/>
          <w:color w:val="FFFFFF" w:themeColor="background1"/>
          <w:sz w:val="20"/>
          <w:szCs w:val="20"/>
        </w:rPr>
        <w:t xml:space="preserve"> </w:t>
      </w:r>
      <w:r w:rsidRPr="00382D6D">
        <w:rPr>
          <w:rFonts w:ascii="Aptos" w:hAnsi="Aptos" w:cs="Calibri"/>
          <w:color w:val="FFFFFF" w:themeColor="background1"/>
          <w:sz w:val="20"/>
          <w:szCs w:val="20"/>
        </w:rPr>
        <w:t>on Cook Inlet, which is among the world's richest tidal power resources.</w:t>
      </w:r>
    </w:p>
    <w:p w14:paraId="28DB08E1" w14:textId="65CADFCF" w:rsidR="005E2DF3" w:rsidRPr="00382D6D" w:rsidRDefault="005E2DF3" w:rsidP="00512F57">
      <w:pPr>
        <w:spacing w:after="120"/>
        <w:ind w:left="90" w:right="90"/>
        <w:rPr>
          <w:rFonts w:ascii="Aptos" w:hAnsi="Aptos" w:cs="Calibri"/>
          <w:color w:val="FFFFFF" w:themeColor="background1"/>
          <w:sz w:val="20"/>
          <w:szCs w:val="20"/>
        </w:rPr>
      </w:pPr>
      <w:r w:rsidRPr="00382D6D">
        <w:rPr>
          <w:rFonts w:ascii="Aptos" w:hAnsi="Aptos" w:cs="Calibri"/>
          <w:b/>
          <w:bCs/>
          <w:color w:val="FFFFFF" w:themeColor="background1"/>
          <w:sz w:val="20"/>
          <w:szCs w:val="20"/>
        </w:rPr>
        <w:t>Marine Minerals</w:t>
      </w:r>
      <w:r w:rsidRPr="00382D6D">
        <w:rPr>
          <w:rFonts w:ascii="Aptos" w:hAnsi="Aptos" w:cs="Calibri"/>
          <w:color w:val="FFFFFF" w:themeColor="background1"/>
          <w:sz w:val="20"/>
          <w:szCs w:val="20"/>
        </w:rPr>
        <w:t>. Regulating the extraction of marine minerals, such as sand, gold, cobalt, and lithium, crucial for economic and national security.</w:t>
      </w:r>
    </w:p>
    <w:p w14:paraId="44206B40" w14:textId="4D936139" w:rsidR="005E2DF3" w:rsidRPr="00382D6D" w:rsidRDefault="005E2DF3" w:rsidP="00512F57">
      <w:pPr>
        <w:ind w:left="90" w:right="90"/>
        <w:rPr>
          <w:rFonts w:ascii="Aptos" w:hAnsi="Aptos" w:cs="Calibri"/>
          <w:color w:val="FFFFFF" w:themeColor="background1"/>
          <w:sz w:val="20"/>
          <w:szCs w:val="20"/>
        </w:rPr>
      </w:pPr>
      <w:r w:rsidRPr="00382D6D">
        <w:rPr>
          <w:rFonts w:ascii="Aptos" w:hAnsi="Aptos" w:cs="Calibri"/>
          <w:b/>
          <w:bCs/>
          <w:color w:val="FFFFFF" w:themeColor="background1"/>
          <w:sz w:val="20"/>
          <w:szCs w:val="20"/>
        </w:rPr>
        <w:t>Carbon Sequestration</w:t>
      </w:r>
      <w:r w:rsidRPr="00382D6D">
        <w:rPr>
          <w:rFonts w:ascii="Aptos" w:hAnsi="Aptos" w:cs="Calibri"/>
          <w:color w:val="FFFFFF" w:themeColor="background1"/>
          <w:sz w:val="20"/>
          <w:szCs w:val="20"/>
        </w:rPr>
        <w:t>. Developing regulatory frameworks to support carbon sequestration in offshore sub-seabed geological formations.</w:t>
      </w:r>
      <w:r w:rsidR="006F5E98" w:rsidRPr="00382D6D">
        <w:rPr>
          <w:rFonts w:ascii="Aptos" w:hAnsi="Aptos" w:cs="Calibri"/>
          <w:noProof/>
          <w:color w:val="FFFFFF" w:themeColor="background1"/>
          <w:sz w:val="20"/>
          <w:szCs w:val="20"/>
        </w:rPr>
        <w:t xml:space="preserve"> </w:t>
      </w:r>
    </w:p>
    <w:p w14:paraId="2ABF5C61" w14:textId="6CD2D6CF" w:rsidR="005E2DF3" w:rsidRPr="00382D6D" w:rsidRDefault="005E2DF3" w:rsidP="005E2DF3">
      <w:pPr>
        <w:rPr>
          <w:rFonts w:ascii="Aptos" w:hAnsi="Aptos" w:cs="Calibri"/>
          <w:sz w:val="20"/>
          <w:szCs w:val="20"/>
        </w:rPr>
      </w:pPr>
    </w:p>
    <w:p w14:paraId="7D703FFF" w14:textId="64032492" w:rsidR="005E2DF3" w:rsidRPr="00AC25D5" w:rsidRDefault="00E63158" w:rsidP="00890226">
      <w:pPr>
        <w:spacing w:before="120"/>
        <w:rPr>
          <w:rFonts w:ascii="Calibri" w:hAnsi="Calibri" w:cs="Calibri"/>
          <w:sz w:val="22"/>
          <w:szCs w:val="22"/>
        </w:rPr>
      </w:pPr>
      <w:r w:rsidRPr="009F057B">
        <w:rPr>
          <w:rFonts w:ascii="Wingdings" w:hAnsi="Wingdings" w:cs="Calibri"/>
          <w:color w:val="156082" w:themeColor="accent1"/>
          <w:sz w:val="15"/>
          <w:szCs w:val="15"/>
        </w:rPr>
        <w:t>u</w:t>
      </w:r>
      <w:r w:rsidRPr="009F057B">
        <w:rPr>
          <w:rFonts w:ascii="Calibri" w:hAnsi="Calibri" w:cs="Calibri"/>
          <w:color w:val="156082" w:themeColor="accent1"/>
          <w:sz w:val="22"/>
          <w:szCs w:val="22"/>
        </w:rPr>
        <w:t xml:space="preserve"> </w:t>
      </w:r>
      <w:r w:rsidR="00D34F96" w:rsidRPr="009F057B">
        <w:rPr>
          <w:rFonts w:ascii="Calibri" w:hAnsi="Calibri" w:cs="Calibri"/>
          <w:b/>
          <w:bCs/>
          <w:color w:val="156082" w:themeColor="accent1"/>
          <w:sz w:val="22"/>
          <w:szCs w:val="22"/>
        </w:rPr>
        <w:t xml:space="preserve">Our </w:t>
      </w:r>
      <w:r w:rsidR="005E2DF3" w:rsidRPr="009F057B">
        <w:rPr>
          <w:rFonts w:ascii="Calibri" w:hAnsi="Calibri" w:cs="Calibri"/>
          <w:b/>
          <w:bCs/>
          <w:color w:val="156082" w:themeColor="accent1"/>
          <w:sz w:val="22"/>
          <w:szCs w:val="22"/>
        </w:rPr>
        <w:t>Commitment to the Environment and Community</w:t>
      </w:r>
      <w:r w:rsidR="00D34F96" w:rsidRPr="009F057B">
        <w:rPr>
          <w:rFonts w:ascii="Calibri" w:hAnsi="Calibri" w:cs="Calibri"/>
          <w:b/>
          <w:bCs/>
          <w:color w:val="156082" w:themeColor="accent1"/>
          <w:sz w:val="22"/>
          <w:szCs w:val="22"/>
        </w:rPr>
        <w:t>.</w:t>
      </w:r>
      <w:r w:rsidR="00D34F96" w:rsidRPr="00AC25D5">
        <w:rPr>
          <w:rFonts w:ascii="Calibri" w:hAnsi="Calibri" w:cs="Calibri"/>
          <w:sz w:val="22"/>
          <w:szCs w:val="22"/>
        </w:rPr>
        <w:t xml:space="preserve"> Since 1973, </w:t>
      </w:r>
      <w:r w:rsidR="005E2DF3" w:rsidRPr="00AC25D5">
        <w:rPr>
          <w:rFonts w:ascii="Calibri" w:hAnsi="Calibri" w:cs="Calibri"/>
          <w:sz w:val="22"/>
          <w:szCs w:val="22"/>
        </w:rPr>
        <w:t xml:space="preserve">BOEM has invested </w:t>
      </w:r>
      <w:r w:rsidR="00D34F96" w:rsidRPr="00AC25D5">
        <w:rPr>
          <w:rFonts w:ascii="Calibri" w:hAnsi="Calibri" w:cs="Calibri"/>
          <w:sz w:val="22"/>
          <w:szCs w:val="22"/>
        </w:rPr>
        <w:t>more than</w:t>
      </w:r>
      <w:r w:rsidR="005E2DF3" w:rsidRPr="00AC25D5">
        <w:rPr>
          <w:rFonts w:ascii="Calibri" w:hAnsi="Calibri" w:cs="Calibri"/>
          <w:sz w:val="22"/>
          <w:szCs w:val="22"/>
        </w:rPr>
        <w:t xml:space="preserve"> $450 million in </w:t>
      </w:r>
      <w:r w:rsidR="00D34F96" w:rsidRPr="00AC25D5">
        <w:rPr>
          <w:rFonts w:ascii="Calibri" w:hAnsi="Calibri" w:cs="Calibri"/>
          <w:sz w:val="22"/>
          <w:szCs w:val="22"/>
        </w:rPr>
        <w:t xml:space="preserve">Alaska and </w:t>
      </w:r>
      <w:r w:rsidR="005E2DF3" w:rsidRPr="00AC25D5">
        <w:rPr>
          <w:rFonts w:ascii="Calibri" w:hAnsi="Calibri" w:cs="Calibri"/>
          <w:sz w:val="22"/>
          <w:szCs w:val="22"/>
        </w:rPr>
        <w:t>Arctic research</w:t>
      </w:r>
      <w:r w:rsidR="00D34F96" w:rsidRPr="00AC25D5">
        <w:rPr>
          <w:rFonts w:ascii="Calibri" w:hAnsi="Calibri" w:cs="Calibri"/>
          <w:sz w:val="22"/>
          <w:szCs w:val="22"/>
        </w:rPr>
        <w:t>. We c</w:t>
      </w:r>
      <w:r w:rsidR="005E2DF3" w:rsidRPr="00AC25D5">
        <w:rPr>
          <w:rFonts w:ascii="Calibri" w:hAnsi="Calibri" w:cs="Calibri"/>
          <w:sz w:val="22"/>
          <w:szCs w:val="22"/>
        </w:rPr>
        <w:t>ontinue</w:t>
      </w:r>
      <w:r w:rsidR="00D34F96" w:rsidRPr="00AC25D5">
        <w:rPr>
          <w:rFonts w:ascii="Calibri" w:hAnsi="Calibri" w:cs="Calibri"/>
          <w:sz w:val="22"/>
          <w:szCs w:val="22"/>
        </w:rPr>
        <w:t xml:space="preserve"> </w:t>
      </w:r>
      <w:r w:rsidR="005E2DF3" w:rsidRPr="00AC25D5">
        <w:rPr>
          <w:rFonts w:ascii="Calibri" w:hAnsi="Calibri" w:cs="Calibri"/>
          <w:sz w:val="22"/>
          <w:szCs w:val="22"/>
        </w:rPr>
        <w:t>to fund studies that enhance our understanding of the marine environment. We prioritize collaboration with Alaska Native communities and stakeholders to ensure that Traditional Knowledge is integrated into our decision-making processes.</w:t>
      </w:r>
    </w:p>
    <w:p w14:paraId="01B1FBEC" w14:textId="77777777" w:rsidR="00D34F96" w:rsidRPr="00AC25D5" w:rsidRDefault="00D34F96" w:rsidP="005E2DF3">
      <w:pPr>
        <w:rPr>
          <w:rFonts w:ascii="Calibri" w:hAnsi="Calibri" w:cs="Calibri"/>
          <w:sz w:val="22"/>
          <w:szCs w:val="22"/>
        </w:rPr>
      </w:pPr>
    </w:p>
    <w:p w14:paraId="176EDAF5" w14:textId="679EDB2A" w:rsidR="005E2DF3" w:rsidRPr="00AC25D5" w:rsidRDefault="00E63158" w:rsidP="005E2DF3">
      <w:pPr>
        <w:rPr>
          <w:rFonts w:ascii="Calibri" w:hAnsi="Calibri" w:cs="Calibri"/>
          <w:sz w:val="22"/>
          <w:szCs w:val="22"/>
        </w:rPr>
      </w:pPr>
      <w:r w:rsidRPr="009F057B">
        <w:rPr>
          <w:rFonts w:ascii="Wingdings" w:hAnsi="Wingdings" w:cs="Calibri"/>
          <w:color w:val="156082" w:themeColor="accent1"/>
          <w:sz w:val="15"/>
          <w:szCs w:val="15"/>
        </w:rPr>
        <w:t>u</w:t>
      </w:r>
      <w:r w:rsidRPr="009F057B">
        <w:rPr>
          <w:rFonts w:ascii="Calibri" w:hAnsi="Calibri" w:cs="Calibri"/>
          <w:color w:val="156082" w:themeColor="accent1"/>
          <w:sz w:val="22"/>
          <w:szCs w:val="22"/>
        </w:rPr>
        <w:t xml:space="preserve"> </w:t>
      </w:r>
      <w:r w:rsidR="005E2DF3" w:rsidRPr="009F057B">
        <w:rPr>
          <w:rFonts w:ascii="Calibri" w:hAnsi="Calibri" w:cs="Calibri"/>
          <w:b/>
          <w:bCs/>
          <w:color w:val="156082" w:themeColor="accent1"/>
          <w:sz w:val="22"/>
          <w:szCs w:val="22"/>
        </w:rPr>
        <w:t>Our Strategic Role</w:t>
      </w:r>
      <w:r w:rsidR="00D34F96" w:rsidRPr="009F057B">
        <w:rPr>
          <w:rFonts w:ascii="Calibri" w:hAnsi="Calibri" w:cs="Calibri"/>
          <w:b/>
          <w:bCs/>
          <w:color w:val="156082" w:themeColor="accent1"/>
          <w:sz w:val="22"/>
          <w:szCs w:val="22"/>
        </w:rPr>
        <w:t>.</w:t>
      </w:r>
      <w:r w:rsidR="00D34F96" w:rsidRPr="009F057B">
        <w:rPr>
          <w:rFonts w:ascii="Calibri" w:hAnsi="Calibri" w:cs="Calibri"/>
          <w:color w:val="156082" w:themeColor="accent1"/>
          <w:sz w:val="22"/>
          <w:szCs w:val="22"/>
        </w:rPr>
        <w:t xml:space="preserve"> </w:t>
      </w:r>
      <w:r w:rsidR="005E2DF3" w:rsidRPr="00AC25D5">
        <w:rPr>
          <w:rFonts w:ascii="Calibri" w:hAnsi="Calibri" w:cs="Calibri"/>
          <w:sz w:val="22"/>
          <w:szCs w:val="22"/>
        </w:rPr>
        <w:t>Aligned with the White House’s National Strategy for the Arctic Region, BOEM plays a pivotal role in securing national interests in the Arctic through sustainable development, environmental protection, and international cooperation.</w:t>
      </w:r>
    </w:p>
    <w:p w14:paraId="12D2A3FA" w14:textId="1EEF563B" w:rsidR="005E2DF3" w:rsidRPr="00AC25D5" w:rsidRDefault="005E2DF3" w:rsidP="005E2DF3">
      <w:pPr>
        <w:rPr>
          <w:rFonts w:ascii="Calibri" w:hAnsi="Calibri" w:cs="Calibri"/>
          <w:sz w:val="22"/>
          <w:szCs w:val="22"/>
        </w:rPr>
      </w:pPr>
    </w:p>
    <w:p w14:paraId="35B6CA9F" w14:textId="43D8BC63" w:rsidR="006F5E98" w:rsidRPr="00AC25D5" w:rsidRDefault="00176A90" w:rsidP="00D34F96">
      <w:pPr>
        <w:rPr>
          <w:rFonts w:ascii="Calibri" w:hAnsi="Calibri" w:cs="Calibri"/>
          <w:sz w:val="22"/>
          <w:szCs w:val="22"/>
        </w:rPr>
      </w:pPr>
      <w:r w:rsidRPr="009F057B">
        <w:rPr>
          <w:rFonts w:ascii="Calibri" w:hAnsi="Calibri" w:cs="Calibri"/>
          <w:noProof/>
          <w:color w:val="156082" w:themeColor="accent1"/>
          <w:sz w:val="15"/>
          <w:szCs w:val="15"/>
        </w:rPr>
        <w:drawing>
          <wp:anchor distT="0" distB="0" distL="114300" distR="114300" simplePos="0" relativeHeight="251658240" behindDoc="0" locked="0" layoutInCell="1" allowOverlap="1" wp14:anchorId="6E988EEE" wp14:editId="56DAB710">
            <wp:simplePos x="0" y="0"/>
            <wp:positionH relativeFrom="column">
              <wp:posOffset>1785620</wp:posOffset>
            </wp:positionH>
            <wp:positionV relativeFrom="paragraph">
              <wp:posOffset>676597</wp:posOffset>
            </wp:positionV>
            <wp:extent cx="1156970" cy="1150620"/>
            <wp:effectExtent l="0" t="0" r="5080" b="0"/>
            <wp:wrapSquare wrapText="bothSides"/>
            <wp:docPr id="79795763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57639" name="Picture 1" descr="A qr code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970" cy="1150620"/>
                    </a:xfrm>
                    <a:prstGeom prst="rect">
                      <a:avLst/>
                    </a:prstGeom>
                  </pic:spPr>
                </pic:pic>
              </a:graphicData>
            </a:graphic>
            <wp14:sizeRelH relativeFrom="margin">
              <wp14:pctWidth>0</wp14:pctWidth>
            </wp14:sizeRelH>
            <wp14:sizeRelV relativeFrom="margin">
              <wp14:pctHeight>0</wp14:pctHeight>
            </wp14:sizeRelV>
          </wp:anchor>
        </w:drawing>
      </w:r>
      <w:r w:rsidR="00E63158" w:rsidRPr="009F057B">
        <w:rPr>
          <w:rFonts w:ascii="Wingdings" w:hAnsi="Wingdings" w:cs="Calibri"/>
          <w:color w:val="156082" w:themeColor="accent1"/>
          <w:sz w:val="15"/>
          <w:szCs w:val="15"/>
        </w:rPr>
        <w:t>u</w:t>
      </w:r>
      <w:r w:rsidR="00E63158" w:rsidRPr="009F057B">
        <w:rPr>
          <w:rFonts w:ascii="Calibri" w:hAnsi="Calibri" w:cs="Calibri"/>
          <w:color w:val="156082" w:themeColor="accent1"/>
          <w:sz w:val="22"/>
          <w:szCs w:val="22"/>
        </w:rPr>
        <w:t xml:space="preserve"> </w:t>
      </w:r>
      <w:r w:rsidR="005E2DF3" w:rsidRPr="009F057B">
        <w:rPr>
          <w:rFonts w:ascii="Calibri" w:hAnsi="Calibri" w:cs="Calibri"/>
          <w:b/>
          <w:bCs/>
          <w:color w:val="156082" w:themeColor="accent1"/>
          <w:sz w:val="22"/>
          <w:szCs w:val="22"/>
        </w:rPr>
        <w:t>Engagement and Partnerships</w:t>
      </w:r>
      <w:r w:rsidR="0038160F" w:rsidRPr="009F057B">
        <w:rPr>
          <w:rFonts w:ascii="Calibri" w:hAnsi="Calibri" w:cs="Calibri"/>
          <w:b/>
          <w:bCs/>
          <w:color w:val="156082" w:themeColor="accent1"/>
          <w:sz w:val="22"/>
          <w:szCs w:val="22"/>
        </w:rPr>
        <w:t>.</w:t>
      </w:r>
      <w:r w:rsidR="0038160F" w:rsidRPr="00AC25D5">
        <w:rPr>
          <w:rFonts w:ascii="Calibri" w:hAnsi="Calibri" w:cs="Calibri"/>
          <w:sz w:val="22"/>
          <w:szCs w:val="22"/>
        </w:rPr>
        <w:t xml:space="preserve"> </w:t>
      </w:r>
      <w:r w:rsidR="005E2DF3" w:rsidRPr="00AC25D5">
        <w:rPr>
          <w:rFonts w:ascii="Calibri" w:hAnsi="Calibri" w:cs="Calibri"/>
          <w:sz w:val="22"/>
          <w:szCs w:val="22"/>
        </w:rPr>
        <w:t>BOEM actively collaborates with federal and state agencies, Alaska Native communities, industry, and non-governmental organizations to achieve shared goals. Through robust outreach and transparency, BOEM fosters trust and understanding among all stakeholders.</w:t>
      </w:r>
    </w:p>
    <w:p w14:paraId="07D1EE85" w14:textId="77777777" w:rsidR="0038160F" w:rsidRPr="00AC25D5" w:rsidRDefault="0038160F">
      <w:pPr>
        <w:rPr>
          <w:rFonts w:ascii="Calibri" w:hAnsi="Calibri" w:cs="Calibri"/>
          <w:sz w:val="22"/>
          <w:szCs w:val="22"/>
        </w:rPr>
      </w:pPr>
      <w:r w:rsidRPr="00AC25D5">
        <w:rPr>
          <w:rFonts w:ascii="Calibri" w:hAnsi="Calibri" w:cs="Calibri"/>
          <w:sz w:val="22"/>
          <w:szCs w:val="22"/>
        </w:rPr>
        <w:br w:type="page"/>
      </w:r>
    </w:p>
    <w:p w14:paraId="1BB818C5" w14:textId="77777777" w:rsidR="0038160F" w:rsidRPr="00AC25D5" w:rsidRDefault="0038160F" w:rsidP="005E2DF3">
      <w:pPr>
        <w:rPr>
          <w:rFonts w:ascii="Calibri" w:hAnsi="Calibri" w:cs="Calibri"/>
          <w:sz w:val="22"/>
          <w:szCs w:val="22"/>
        </w:rPr>
        <w:sectPr w:rsidR="0038160F" w:rsidRPr="00AC25D5" w:rsidSect="00CA5280">
          <w:type w:val="continuous"/>
          <w:pgSz w:w="12240" w:h="15840"/>
          <w:pgMar w:top="1440" w:right="1080" w:bottom="720" w:left="1080" w:header="720" w:footer="720" w:gutter="0"/>
          <w:cols w:num="2" w:space="720"/>
          <w:docGrid w:linePitch="360"/>
        </w:sectPr>
      </w:pPr>
    </w:p>
    <w:p w14:paraId="3C501300" w14:textId="7CF4DD5F" w:rsidR="00AD448D" w:rsidRPr="00AC25D5" w:rsidRDefault="0038160F" w:rsidP="005E2DF3">
      <w:pPr>
        <w:rPr>
          <w:rFonts w:ascii="Calibri" w:hAnsi="Calibri" w:cs="Calibri"/>
          <w:sz w:val="22"/>
          <w:szCs w:val="22"/>
        </w:rPr>
      </w:pPr>
      <w:r w:rsidRPr="00AC25D5">
        <w:rPr>
          <w:rFonts w:ascii="Calibri" w:hAnsi="Calibri" w:cs="Calibri"/>
          <w:noProof/>
          <w:sz w:val="22"/>
          <w:szCs w:val="22"/>
        </w:rPr>
        <w:lastRenderedPageBreak/>
        <w:drawing>
          <wp:anchor distT="0" distB="0" distL="114300" distR="114300" simplePos="0" relativeHeight="251660288" behindDoc="0" locked="0" layoutInCell="1" allowOverlap="1" wp14:anchorId="58DD8FD4" wp14:editId="7CBADF3B">
            <wp:simplePos x="0" y="0"/>
            <wp:positionH relativeFrom="column">
              <wp:align>center</wp:align>
            </wp:positionH>
            <wp:positionV relativeFrom="page">
              <wp:align>center</wp:align>
            </wp:positionV>
            <wp:extent cx="6611112" cy="8549640"/>
            <wp:effectExtent l="0" t="0" r="5715" b="0"/>
            <wp:wrapNone/>
            <wp:docPr id="1630437685"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37685" name="Picture 3" descr="A screenshot of a graph&#10;&#10;Description automatically generated"/>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6611112" cy="8549640"/>
                    </a:xfrm>
                    <a:prstGeom prst="rect">
                      <a:avLst/>
                    </a:prstGeom>
                  </pic:spPr>
                </pic:pic>
              </a:graphicData>
            </a:graphic>
            <wp14:sizeRelH relativeFrom="margin">
              <wp14:pctWidth>0</wp14:pctWidth>
            </wp14:sizeRelH>
            <wp14:sizeRelV relativeFrom="margin">
              <wp14:pctHeight>0</wp14:pctHeight>
            </wp14:sizeRelV>
          </wp:anchor>
        </w:drawing>
      </w:r>
    </w:p>
    <w:sectPr w:rsidR="00AD448D" w:rsidRPr="00AC25D5" w:rsidSect="00CA5280">
      <w:type w:val="continuous"/>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F3"/>
    <w:rsid w:val="000125D7"/>
    <w:rsid w:val="000A5C6F"/>
    <w:rsid w:val="000B3205"/>
    <w:rsid w:val="0010187B"/>
    <w:rsid w:val="00112D66"/>
    <w:rsid w:val="00176A90"/>
    <w:rsid w:val="001D2D32"/>
    <w:rsid w:val="001D4AB2"/>
    <w:rsid w:val="001F468F"/>
    <w:rsid w:val="00236C8C"/>
    <w:rsid w:val="00273668"/>
    <w:rsid w:val="0029652E"/>
    <w:rsid w:val="002A527E"/>
    <w:rsid w:val="002B2E52"/>
    <w:rsid w:val="002F056B"/>
    <w:rsid w:val="002F75AD"/>
    <w:rsid w:val="0038160F"/>
    <w:rsid w:val="00382D6D"/>
    <w:rsid w:val="0046050E"/>
    <w:rsid w:val="00512F57"/>
    <w:rsid w:val="00513E5D"/>
    <w:rsid w:val="005C7E70"/>
    <w:rsid w:val="005D57A3"/>
    <w:rsid w:val="005D6EFE"/>
    <w:rsid w:val="005E2DF3"/>
    <w:rsid w:val="00684F26"/>
    <w:rsid w:val="0069556B"/>
    <w:rsid w:val="006B0F7A"/>
    <w:rsid w:val="006B719C"/>
    <w:rsid w:val="006F5E98"/>
    <w:rsid w:val="00782DF5"/>
    <w:rsid w:val="00793F60"/>
    <w:rsid w:val="007D6335"/>
    <w:rsid w:val="008220AF"/>
    <w:rsid w:val="00824171"/>
    <w:rsid w:val="00890226"/>
    <w:rsid w:val="008F530F"/>
    <w:rsid w:val="00920847"/>
    <w:rsid w:val="0093012D"/>
    <w:rsid w:val="00963564"/>
    <w:rsid w:val="00991C10"/>
    <w:rsid w:val="009C556E"/>
    <w:rsid w:val="009E7A4C"/>
    <w:rsid w:val="009F057B"/>
    <w:rsid w:val="00A251E5"/>
    <w:rsid w:val="00A71EFA"/>
    <w:rsid w:val="00AC25D5"/>
    <w:rsid w:val="00AD448D"/>
    <w:rsid w:val="00AF7EE3"/>
    <w:rsid w:val="00B13D34"/>
    <w:rsid w:val="00BD3885"/>
    <w:rsid w:val="00BE6627"/>
    <w:rsid w:val="00CA03E3"/>
    <w:rsid w:val="00CA5280"/>
    <w:rsid w:val="00D066DD"/>
    <w:rsid w:val="00D34F96"/>
    <w:rsid w:val="00D95F4C"/>
    <w:rsid w:val="00DA478C"/>
    <w:rsid w:val="00DB537C"/>
    <w:rsid w:val="00DE71DA"/>
    <w:rsid w:val="00DF62D9"/>
    <w:rsid w:val="00E63158"/>
    <w:rsid w:val="00E800E8"/>
    <w:rsid w:val="00E816F1"/>
    <w:rsid w:val="00EA0049"/>
    <w:rsid w:val="00EC27D2"/>
    <w:rsid w:val="00EC2D0D"/>
    <w:rsid w:val="00F0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092D"/>
  <w15:chartTrackingRefBased/>
  <w15:docId w15:val="{916BAEB8-8DAE-3F42-BEB8-3D309D7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D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D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D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D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DF3"/>
    <w:rPr>
      <w:rFonts w:eastAsiaTheme="majorEastAsia" w:cstheme="majorBidi"/>
      <w:color w:val="272727" w:themeColor="text1" w:themeTint="D8"/>
    </w:rPr>
  </w:style>
  <w:style w:type="paragraph" w:styleId="Title">
    <w:name w:val="Title"/>
    <w:basedOn w:val="Normal"/>
    <w:next w:val="Normal"/>
    <w:link w:val="TitleChar"/>
    <w:uiPriority w:val="10"/>
    <w:qFormat/>
    <w:rsid w:val="005E2D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D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D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2DF3"/>
    <w:rPr>
      <w:i/>
      <w:iCs/>
      <w:color w:val="404040" w:themeColor="text1" w:themeTint="BF"/>
    </w:rPr>
  </w:style>
  <w:style w:type="paragraph" w:styleId="ListParagraph">
    <w:name w:val="List Paragraph"/>
    <w:basedOn w:val="Normal"/>
    <w:uiPriority w:val="34"/>
    <w:qFormat/>
    <w:rsid w:val="005E2DF3"/>
    <w:pPr>
      <w:ind w:left="720"/>
      <w:contextualSpacing/>
    </w:pPr>
  </w:style>
  <w:style w:type="character" w:styleId="IntenseEmphasis">
    <w:name w:val="Intense Emphasis"/>
    <w:basedOn w:val="DefaultParagraphFont"/>
    <w:uiPriority w:val="21"/>
    <w:qFormat/>
    <w:rsid w:val="005E2DF3"/>
    <w:rPr>
      <w:i/>
      <w:iCs/>
      <w:color w:val="0F4761" w:themeColor="accent1" w:themeShade="BF"/>
    </w:rPr>
  </w:style>
  <w:style w:type="paragraph" w:styleId="IntenseQuote">
    <w:name w:val="Intense Quote"/>
    <w:basedOn w:val="Normal"/>
    <w:next w:val="Normal"/>
    <w:link w:val="IntenseQuoteChar"/>
    <w:uiPriority w:val="30"/>
    <w:qFormat/>
    <w:rsid w:val="005E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DF3"/>
    <w:rPr>
      <w:i/>
      <w:iCs/>
      <w:color w:val="0F4761" w:themeColor="accent1" w:themeShade="BF"/>
    </w:rPr>
  </w:style>
  <w:style w:type="character" w:styleId="IntenseReference">
    <w:name w:val="Intense Reference"/>
    <w:basedOn w:val="DefaultParagraphFont"/>
    <w:uiPriority w:val="32"/>
    <w:qFormat/>
    <w:rsid w:val="005E2D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Callahan</dc:creator>
  <cp:keywords/>
  <dc:description/>
  <cp:lastModifiedBy>Callahan, John T</cp:lastModifiedBy>
  <cp:revision>56</cp:revision>
  <cp:lastPrinted>2024-09-11T17:41:00Z</cp:lastPrinted>
  <dcterms:created xsi:type="dcterms:W3CDTF">2024-09-10T06:45:00Z</dcterms:created>
  <dcterms:modified xsi:type="dcterms:W3CDTF">2024-09-12T17:54:00Z</dcterms:modified>
</cp:coreProperties>
</file>